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="00C300C1">
        <w:rPr>
          <w:rFonts w:ascii="Times New Roman" w:hAnsi="Times New Roman" w:cs="Times New Roman"/>
          <w:b/>
          <w:szCs w:val="24"/>
        </w:rPr>
        <w:t xml:space="preserve"> Monday April 20, 2020</w:t>
      </w:r>
      <w:r w:rsidRPr="00D33B12">
        <w:rPr>
          <w:rFonts w:ascii="Times New Roman" w:hAnsi="Times New Roman" w:cs="Times New Roman"/>
          <w:b/>
          <w:szCs w:val="24"/>
        </w:rPr>
        <w:tab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="00C300C1">
        <w:rPr>
          <w:rFonts w:ascii="Times New Roman" w:hAnsi="Times New Roman" w:cs="Times New Roman"/>
          <w:b/>
          <w:szCs w:val="24"/>
        </w:rPr>
        <w:t>12:30pm-1:30pm</w:t>
      </w:r>
      <w:r w:rsidRPr="00D33B12">
        <w:rPr>
          <w:rFonts w:ascii="Times New Roman" w:hAnsi="Times New Roman" w:cs="Times New Roman"/>
          <w:b/>
          <w:szCs w:val="24"/>
        </w:rPr>
        <w:tab/>
      </w:r>
    </w:p>
    <w:p w:rsidR="003E4F30" w:rsidRDefault="003E4F30" w:rsidP="003E4F30">
      <w:pPr>
        <w:spacing w:after="0" w:line="240" w:lineRule="auto"/>
        <w:ind w:left="1080" w:hanging="1080"/>
        <w:rPr>
          <w:rStyle w:val="Hyperlink"/>
          <w:rFonts w:ascii="Calibri" w:hAnsi="Calibri" w:cs="Calibri"/>
          <w:shd w:val="clear" w:color="auto" w:fill="FFFFFF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C300C1">
        <w:rPr>
          <w:rFonts w:ascii="Times New Roman" w:hAnsi="Times New Roman" w:cs="Times New Roman"/>
          <w:b/>
          <w:szCs w:val="24"/>
        </w:rPr>
        <w:t>Zoom</w:t>
      </w:r>
      <w:r w:rsidR="004E57EE">
        <w:rPr>
          <w:rFonts w:ascii="Times New Roman" w:hAnsi="Times New Roman" w:cs="Times New Roman"/>
          <w:b/>
          <w:szCs w:val="24"/>
        </w:rPr>
        <w:t xml:space="preserve"> Meeting </w:t>
      </w:r>
      <w:hyperlink r:id="rId8" w:history="1">
        <w:r w:rsidR="004E57EE">
          <w:rPr>
            <w:rStyle w:val="Hyperlink"/>
            <w:rFonts w:ascii="Calibri" w:hAnsi="Calibri" w:cs="Calibri"/>
            <w:shd w:val="clear" w:color="auto" w:fill="FFFFFF"/>
          </w:rPr>
          <w:t>https://4cd.zoom.us/j/5825755564</w:t>
        </w:r>
      </w:hyperlink>
    </w:p>
    <w:p w:rsidR="00671B58" w:rsidRDefault="00671B58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</w:p>
    <w:p w:rsidR="00671B58" w:rsidRPr="00D33B12" w:rsidRDefault="00671B58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Missing: Jenna Hornbuckle. All others in attendance.</w:t>
      </w:r>
    </w:p>
    <w:p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Senate President: Brandy Gibson</w:t>
            </w:r>
          </w:p>
          <w:p w:rsidR="004E57EE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Senate Vice President: Michael Simpson</w:t>
            </w:r>
          </w:p>
          <w:p w:rsidR="004E57EE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Secretary: Jenna Hornbuckle</w:t>
            </w:r>
          </w:p>
          <w:p w:rsidR="004E57EE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Treasurer: Jacqueline </w:t>
            </w:r>
            <w:r w:rsidR="00E83694">
              <w:rPr>
                <w:rFonts w:ascii="Times New Roman" w:hAnsi="Times New Roman" w:cs="Times New Roman"/>
              </w:rPr>
              <w:t>Ore</w:t>
            </w:r>
          </w:p>
          <w:p w:rsidR="004E57EE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4CS Associate Member: Kate Weinstein</w:t>
            </w:r>
          </w:p>
          <w:p w:rsidR="004E57EE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Senate Senators:</w:t>
            </w:r>
          </w:p>
          <w:p w:rsidR="004E57EE" w:rsidRPr="003F3F96" w:rsidRDefault="004E57E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Natasha DeAlmeida, Demetria Lawrence, Leticia Mendoza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  <w:r w:rsidR="004E57EE">
              <w:rPr>
                <w:rFonts w:ascii="Times New Roman" w:hAnsi="Times New Roman" w:cs="Times New Roman"/>
                <w:b/>
              </w:rPr>
              <w:t xml:space="preserve"> 12:30pm-12:35pm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Pr="00560ED4" w:rsidRDefault="004E57EE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 and agenda- Brandy Gibson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CE385F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to approve </w:t>
            </w:r>
            <w:r w:rsidR="00E83694">
              <w:rPr>
                <w:rFonts w:ascii="Times New Roman" w:hAnsi="Times New Roman" w:cs="Times New Roman"/>
              </w:rPr>
              <w:t>Agenda</w:t>
            </w:r>
            <w:r>
              <w:rPr>
                <w:rFonts w:ascii="Times New Roman" w:hAnsi="Times New Roman" w:cs="Times New Roman"/>
              </w:rPr>
              <w:t xml:space="preserve"> by Michael Simpson. 2</w:t>
            </w:r>
            <w:r w:rsidRPr="00CE385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by Kate Weinstein. </w:t>
            </w:r>
          </w:p>
          <w:p w:rsidR="00CE385F" w:rsidRPr="00560ED4" w:rsidRDefault="00CE385F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approve March Minutes by Kate Weinstein, 2</w:t>
            </w:r>
            <w:r w:rsidRPr="00CE385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By Jacqueline Lopez.</w:t>
            </w: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</w:t>
            </w:r>
            <w:r w:rsidR="004E57E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4E57EE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Response Update- Brandy Gibson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385F" w:rsidRDefault="00CE385F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Remotely through end of April until at least May 4</w:t>
            </w:r>
            <w:r w:rsidRPr="00CE385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385F" w:rsidRDefault="00CE385F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Instruction through end of Spring term and through Summer 2020.</w:t>
            </w:r>
          </w:p>
          <w:p w:rsidR="00CE385F" w:rsidRDefault="00CE385F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Jackie- Potentially 2 weeks away from going back to campus. Is there a discussion about who will be coming back and what precautions are in place? 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washing hands, using sanitizer. </w:t>
            </w:r>
          </w:p>
          <w:p w:rsidR="00CE385F" w:rsidRDefault="00CE385F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will provide updates when available. </w:t>
            </w:r>
          </w:p>
          <w:p w:rsidR="00CE385F" w:rsidRPr="00560ED4" w:rsidRDefault="00CE385F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thanks classified staff for their work with students. </w:t>
            </w:r>
          </w:p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4E57EE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 First Read- All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Default="00CE385F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the goals of the Strategic Plan reflect the work we are doing? </w:t>
            </w: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BD3D64" w:rsidRDefault="00CE385F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Mayra will send out</w:t>
            </w:r>
            <w:r w:rsidR="00BD3D64">
              <w:rPr>
                <w:rFonts w:ascii="Times New Roman" w:hAnsi="Times New Roman" w:cs="Times New Roman"/>
              </w:rPr>
              <w:t xml:space="preserve"> a reminder with the survey link for the Strategic Plan. Original Survey sent Monday April 13. Survey ends midday Tuesday April 21. </w:t>
            </w: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CE385F" w:rsidRDefault="00CE385F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will be a forum this Friday via zoom. </w:t>
            </w: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Brian- Commented that management should ensure that participation in participatory governance should be a part of their job. More encouragement from management is needed. </w:t>
            </w: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Brandy- Classified Senate has funds to help backfill positions. Create a strategy to backfill classified positions so they can participate in classified senate and participatory governance activities. </w:t>
            </w:r>
          </w:p>
          <w:p w:rsidR="00BD3D6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BD3D64" w:rsidRPr="00560ED4" w:rsidRDefault="00BD3D64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Brian- Foster a culture where it is just as important to participate with classified senate governance activities as it is to participate in their assigned work. </w:t>
            </w: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2282C" w:rsidRDefault="00405932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ISER:</w:t>
            </w:r>
          </w:p>
          <w:p w:rsidR="00405932" w:rsidRPr="00560ED4" w:rsidRDefault="00405932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Mayra-  </w:t>
            </w: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BB2200.0- All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B58" w:rsidRDefault="00671B58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Brandy- Information for Classified Staff. Made some suggestions to the procedure.</w:t>
            </w:r>
          </w:p>
          <w:p w:rsidR="00671B58" w:rsidRDefault="00671B58" w:rsidP="00F322D4">
            <w:pPr>
              <w:rPr>
                <w:rFonts w:ascii="Times New Roman" w:hAnsi="Times New Roman" w:cs="Times New Roman"/>
              </w:rPr>
            </w:pPr>
          </w:p>
          <w:p w:rsidR="00671B58" w:rsidRDefault="00671B58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&amp; Michael will work to complete a few sentences to explain what Classified Senate does. </w:t>
            </w:r>
          </w:p>
          <w:p w:rsidR="00671B58" w:rsidRDefault="00671B58" w:rsidP="00F322D4">
            <w:pPr>
              <w:rPr>
                <w:rFonts w:ascii="Times New Roman" w:hAnsi="Times New Roman" w:cs="Times New Roman"/>
              </w:rPr>
            </w:pPr>
          </w:p>
          <w:p w:rsidR="00671B58" w:rsidRDefault="00671B58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Jackie- Suggests changing Classified “Staff” to Classified Professional. </w:t>
            </w:r>
          </w:p>
          <w:p w:rsidR="00671B58" w:rsidRPr="00560ED4" w:rsidRDefault="00671B58" w:rsidP="00F322D4">
            <w:pPr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E8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4E57EE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Update- Jenna Hornbuckle/Christina Craig-Chardon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671B58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Christina-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committee has been meeting, due to Shelter in Place orders we have decided to cancel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. Once back on campus we do not know when we will be able to </w:t>
            </w:r>
            <w:r w:rsidR="00D71A3D">
              <w:rPr>
                <w:rFonts w:ascii="Times New Roman" w:hAnsi="Times New Roman" w:cs="Times New Roman"/>
              </w:rPr>
              <w:t xml:space="preserve">meet in large groups. </w:t>
            </w:r>
            <w:proofErr w:type="spellStart"/>
            <w:r w:rsidR="00D71A3D">
              <w:rPr>
                <w:rFonts w:ascii="Times New Roman" w:hAnsi="Times New Roman" w:cs="Times New Roman"/>
              </w:rPr>
              <w:t>JobLinks</w:t>
            </w:r>
            <w:proofErr w:type="spellEnd"/>
            <w:r w:rsidR="00D71A3D">
              <w:rPr>
                <w:rFonts w:ascii="Times New Roman" w:hAnsi="Times New Roman" w:cs="Times New Roman"/>
              </w:rPr>
              <w:t xml:space="preserve"> 2021 will be the next </w:t>
            </w:r>
            <w:proofErr w:type="spellStart"/>
            <w:r w:rsidR="00D71A3D">
              <w:rPr>
                <w:rFonts w:ascii="Times New Roman" w:hAnsi="Times New Roman" w:cs="Times New Roman"/>
              </w:rPr>
              <w:t>JobLinks</w:t>
            </w:r>
            <w:proofErr w:type="spellEnd"/>
            <w:r w:rsidR="00D71A3D">
              <w:rPr>
                <w:rFonts w:ascii="Times New Roman" w:hAnsi="Times New Roman" w:cs="Times New Roman"/>
              </w:rPr>
              <w:t xml:space="preserve"> program. The committee is working on sending out an announcement and will share professional development opportunities through the </w:t>
            </w:r>
            <w:proofErr w:type="spellStart"/>
            <w:r w:rsidR="00D71A3D">
              <w:rPr>
                <w:rFonts w:ascii="Times New Roman" w:hAnsi="Times New Roman" w:cs="Times New Roman"/>
              </w:rPr>
              <w:t>InSite</w:t>
            </w:r>
            <w:proofErr w:type="spellEnd"/>
            <w:r w:rsidR="00D71A3D">
              <w:rPr>
                <w:rFonts w:ascii="Times New Roman" w:hAnsi="Times New Roman" w:cs="Times New Roman"/>
              </w:rPr>
              <w:t xml:space="preserve"> Growth tile.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4E57EE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E57EE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Discretionary Funds Update- Brandy Gibson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D71A3D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Brandy- The discretionary fund cannot be spent, but Interim Chancellor Gene Huff has agreed to roll over unspent funds from 2019-2020 to 2020-2021, provided that there is not a </w:t>
            </w:r>
            <w:proofErr w:type="spellStart"/>
            <w:r>
              <w:rPr>
                <w:rFonts w:ascii="Times New Roman" w:hAnsi="Times New Roman" w:cs="Times New Roman"/>
              </w:rPr>
              <w:t>hugh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budget change in the May revise (Kate mentioned that it may be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August Revise).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4E57EE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E57EE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 Updates- Brandy Gibson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D71A3D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for election is put together. Email will go out this afternoon. 2 executive and 2 senator roles will be open. Committee will send out an online ballot on May 11 and run through May 29</w:t>
            </w:r>
            <w:r w:rsidRPr="00D71A3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71A3D" w:rsidRDefault="00D71A3D" w:rsidP="00F322D4">
            <w:pPr>
              <w:rPr>
                <w:rFonts w:ascii="Times New Roman" w:hAnsi="Times New Roman" w:cs="Times New Roman"/>
              </w:rPr>
            </w:pPr>
          </w:p>
          <w:p w:rsidR="00D71A3D" w:rsidRPr="00560ED4" w:rsidRDefault="00D71A3D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 roll is up for elections. The Treasurer is up for election is because the roll was filled outside of elections. Normally this is a two year assignment.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4E57EE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E57EE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Pathways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D71A3D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Demetria- Guided Pathways is still meeting. Meeting again Thursday April 23. Discussion around All College Day event (up in the air). Pedagogy group will meet to discuss discussions campus wide. </w:t>
            </w:r>
          </w:p>
          <w:p w:rsidR="00D71A3D" w:rsidRDefault="00D71A3D" w:rsidP="00F322D4">
            <w:pPr>
              <w:rPr>
                <w:rFonts w:ascii="Times New Roman" w:hAnsi="Times New Roman" w:cs="Times New Roman"/>
              </w:rPr>
            </w:pPr>
          </w:p>
          <w:p w:rsidR="00D71A3D" w:rsidRPr="00560ED4" w:rsidRDefault="00D71A3D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Hoping to use All College Day to share scales of adoption of Guided Pathways, but we do not know what the day may look like.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4E57EE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4E57EE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4E57EE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Caring Campus Update- Brandy Gibson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Default="00727B30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Brandy- CCC Was accepted to Caring Campus and assigned a Coach, but this was before the campus closure. We are discussing what this will look like through remote service. </w:t>
            </w:r>
          </w:p>
          <w:p w:rsidR="00727B30" w:rsidRDefault="00727B30" w:rsidP="00F322D4">
            <w:pPr>
              <w:rPr>
                <w:rFonts w:ascii="Times New Roman" w:hAnsi="Times New Roman" w:cs="Times New Roman"/>
              </w:rPr>
            </w:pPr>
          </w:p>
          <w:p w:rsidR="00727B30" w:rsidRPr="00560ED4" w:rsidRDefault="00727B30" w:rsidP="00F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minute webinar will be sent out, but will not replace the kickoff event.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57EE" w:rsidRPr="00560ED4" w:rsidRDefault="004E57EE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727B30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Budget: </w:t>
            </w:r>
            <w:r w:rsidR="006F7F1B">
              <w:rPr>
                <w:rFonts w:ascii="Times New Roman" w:hAnsi="Times New Roman" w:cs="Times New Roman"/>
              </w:rPr>
              <w:t>Brian- Met to review resource allocation. Meeting again Wednesday April 22</w:t>
            </w:r>
          </w:p>
          <w:p w:rsidR="006F7F1B" w:rsidRDefault="006F7F1B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Operations: Brian- Meeting scheduled for first virtual meeting</w:t>
            </w:r>
          </w:p>
          <w:p w:rsidR="006F7F1B" w:rsidRDefault="006F7F1B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Success: No update. The committee did meet. </w:t>
            </w:r>
            <w:proofErr w:type="spellStart"/>
            <w:r>
              <w:rPr>
                <w:rFonts w:ascii="Times New Roman" w:hAnsi="Times New Roman" w:cs="Times New Roman"/>
              </w:rPr>
              <w:t>Cochair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model, and students will always share </w:t>
            </w:r>
            <w:proofErr w:type="spellStart"/>
            <w:r>
              <w:rPr>
                <w:rFonts w:ascii="Times New Roman" w:hAnsi="Times New Roman" w:cs="Times New Roman"/>
              </w:rPr>
              <w:t>cochair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going forward. Rod Santos has agreed to </w:t>
            </w:r>
            <w:proofErr w:type="spellStart"/>
            <w:r>
              <w:rPr>
                <w:rFonts w:ascii="Times New Roman" w:hAnsi="Times New Roman" w:cs="Times New Roman"/>
              </w:rPr>
              <w:t>cochair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rest of this year and next fiscal year. Email to come. </w:t>
            </w:r>
          </w:p>
          <w:p w:rsidR="006F7F1B" w:rsidRDefault="006F7F1B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Planning: Kate- Focused on Strategic Plan. </w:t>
            </w:r>
          </w:p>
          <w:p w:rsidR="006F7F1B" w:rsidRPr="00560ED4" w:rsidRDefault="006F7F1B" w:rsidP="007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Council: Brandy- VP Search is continuing. Open forums on May 5</w:t>
            </w:r>
            <w:r w:rsidRPr="006F7F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 Open up to questions and feedback. Reviewed Strategic Plan and ISER. Made adjustments to Handbook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F7F1B">
        <w:trPr>
          <w:trHeight w:val="136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6F7F1B" w:rsidRDefault="006F7F1B" w:rsidP="006F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Sustainability: Christina- Cancelled events due to COVID-19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6F7F1B" w:rsidP="00E86A30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 Adjourned by Brandy at 1:20pm.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9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altName w:val="Helvetica Neue Bold Condensed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14779"/>
    <w:rsid w:val="0019173E"/>
    <w:rsid w:val="002C7810"/>
    <w:rsid w:val="0032666E"/>
    <w:rsid w:val="003B5967"/>
    <w:rsid w:val="003E4F30"/>
    <w:rsid w:val="003F3F96"/>
    <w:rsid w:val="00405932"/>
    <w:rsid w:val="00405F39"/>
    <w:rsid w:val="0049353B"/>
    <w:rsid w:val="004D3D36"/>
    <w:rsid w:val="004E57EE"/>
    <w:rsid w:val="0052798A"/>
    <w:rsid w:val="00541CF0"/>
    <w:rsid w:val="00560ED4"/>
    <w:rsid w:val="00585306"/>
    <w:rsid w:val="0059289C"/>
    <w:rsid w:val="00671B58"/>
    <w:rsid w:val="00671FEB"/>
    <w:rsid w:val="006979FC"/>
    <w:rsid w:val="006B34DC"/>
    <w:rsid w:val="006B6056"/>
    <w:rsid w:val="006C63C8"/>
    <w:rsid w:val="006F7F1B"/>
    <w:rsid w:val="007210C4"/>
    <w:rsid w:val="00727B30"/>
    <w:rsid w:val="00750F7B"/>
    <w:rsid w:val="007944E3"/>
    <w:rsid w:val="007A45CA"/>
    <w:rsid w:val="007E106C"/>
    <w:rsid w:val="00916572"/>
    <w:rsid w:val="00A01FB4"/>
    <w:rsid w:val="00A872A1"/>
    <w:rsid w:val="00AF3718"/>
    <w:rsid w:val="00B01D0E"/>
    <w:rsid w:val="00BA66B4"/>
    <w:rsid w:val="00BD3D64"/>
    <w:rsid w:val="00C300C1"/>
    <w:rsid w:val="00C805F4"/>
    <w:rsid w:val="00C97D60"/>
    <w:rsid w:val="00CE385F"/>
    <w:rsid w:val="00D33B12"/>
    <w:rsid w:val="00D56431"/>
    <w:rsid w:val="00D6798A"/>
    <w:rsid w:val="00D71A3D"/>
    <w:rsid w:val="00D746D2"/>
    <w:rsid w:val="00E00110"/>
    <w:rsid w:val="00E83694"/>
    <w:rsid w:val="00E86A30"/>
    <w:rsid w:val="00ED6F51"/>
    <w:rsid w:val="00F2282C"/>
    <w:rsid w:val="00F322D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FA45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character" w:styleId="Hyperlink">
    <w:name w:val="Hyperlink"/>
    <w:basedOn w:val="DefaultParagraphFont"/>
    <w:uiPriority w:val="99"/>
    <w:semiHidden/>
    <w:unhideWhenUsed/>
    <w:rsid w:val="004E5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d.zoom.us/j/58257555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FE24-1DCD-408D-911F-10D8B342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7</cp:revision>
  <cp:lastPrinted>2015-11-03T00:06:00Z</cp:lastPrinted>
  <dcterms:created xsi:type="dcterms:W3CDTF">2020-04-20T16:07:00Z</dcterms:created>
  <dcterms:modified xsi:type="dcterms:W3CDTF">2020-05-18T20:10:00Z</dcterms:modified>
</cp:coreProperties>
</file>